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Образование обучающихся с ограниченными возможностями здоровья в условиях введения ФГОС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формирование способности выбрать сферу профессиональной деятельности, оптимально соответствующую личностным и возрастным особенностям и запросам рынка труда, успешно функционировать в системе профессиональной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психологический анализ социальной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и профессиональной, бытовой конкретной ситуации, выявление основных проблем и определение причин их возникновения, путей и средств их решения на основе личностного подхода;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содействие личностному и интеллектуальному развитию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человека;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содействие профессиональному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коллективу в гармонизации отношений;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профилактика и преодоление трудностей в социальном и психическом здоровье, а также личностном и профессиональном развитии;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участие в подготовке и создании психологических условий преемственности в процессе получения дополнительного или дистанционного образования, повышения квалификации.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Учебно-тематический план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по дисциплине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Образование обучающихся с ограниченными возможностямиздоровья в условиях введения ФГОС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часа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Теоретический материал</w:t>
      </w:r>
    </w:p>
    <w:tbl>
      <w:tblPr/>
      <w:tblGrid>
        <w:gridCol w:w="1961"/>
        <w:gridCol w:w="7514"/>
      </w:tblGrid>
      <w:tr>
        <w:trPr>
          <w:trHeight w:val="1" w:hRule="atLeast"/>
          <w:jc w:val="left"/>
        </w:trPr>
        <w:tc>
          <w:tcPr>
            <w:tcW w:w="947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Сложность решения проблем образования в условиях введения ФГОС</w:t>
            </w:r>
          </w:p>
        </w:tc>
      </w:tr>
      <w:tr>
        <w:trPr>
          <w:trHeight w:val="1" w:hRule="atLeast"/>
          <w:jc w:val="left"/>
        </w:trPr>
        <w:tc>
          <w:tcPr>
            <w:tcW w:w="19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</w:t>
            </w:r>
          </w:p>
        </w:tc>
        <w:tc>
          <w:tcPr>
            <w:tcW w:w="75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принципы ФГОС</w:t>
            </w:r>
          </w:p>
        </w:tc>
      </w:tr>
      <w:tr>
        <w:trPr>
          <w:trHeight w:val="1" w:hRule="atLeast"/>
          <w:jc w:val="left"/>
        </w:trPr>
        <w:tc>
          <w:tcPr>
            <w:tcW w:w="19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</w:t>
            </w:r>
          </w:p>
        </w:tc>
        <w:tc>
          <w:tcPr>
            <w:tcW w:w="75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 и принципы 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образовательных учреждений с лицами с ограниченными возможностями здоровья в условиях внедрения ФГОС</w:t>
            </w:r>
          </w:p>
        </w:tc>
      </w:tr>
      <w:tr>
        <w:trPr>
          <w:trHeight w:val="1" w:hRule="atLeast"/>
          <w:jc w:val="left"/>
        </w:trPr>
        <w:tc>
          <w:tcPr>
            <w:tcW w:w="19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</w:t>
            </w:r>
          </w:p>
        </w:tc>
        <w:tc>
          <w:tcPr>
            <w:tcW w:w="75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Принципы построения обобщенной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модели коррекционного обучения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воспитания в образовательных учреждениях для лиц с ограниченными возможностями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II Научно-методическое сопровождение введения федеральных государственных образовательных стандартов общего образования в специальном (коррекционном) образовании</w:t>
            </w:r>
          </w:p>
        </w:tc>
      </w:tr>
      <w:tr>
        <w:trPr>
          <w:trHeight w:val="1" w:hRule="atLeast"/>
          <w:jc w:val="left"/>
        </w:trPr>
        <w:tc>
          <w:tcPr>
            <w:tcW w:w="19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</w:t>
            </w:r>
          </w:p>
        </w:tc>
        <w:tc>
          <w:tcPr>
            <w:tcW w:w="75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лицами с ограниченными возможностями</w:t>
            </w:r>
          </w:p>
        </w:tc>
      </w:tr>
      <w:tr>
        <w:trPr>
          <w:trHeight w:val="1" w:hRule="atLeast"/>
          <w:jc w:val="left"/>
        </w:trPr>
        <w:tc>
          <w:tcPr>
            <w:tcW w:w="19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5.</w:t>
            </w:r>
          </w:p>
        </w:tc>
        <w:tc>
          <w:tcPr>
            <w:tcW w:w="75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ориентация, профессиональная адаптация, профессиональная подготовка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специальных образовательных условиях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внедрения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</w:p>
        </w:tc>
      </w:tr>
      <w:tr>
        <w:trPr>
          <w:trHeight w:val="1" w:hRule="atLeast"/>
          <w:jc w:val="left"/>
        </w:trPr>
        <w:tc>
          <w:tcPr>
            <w:tcW w:w="19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6.</w:t>
            </w:r>
          </w:p>
        </w:tc>
        <w:tc>
          <w:tcPr>
            <w:tcW w:w="75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Воспитательная работа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психология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отношений в образовательных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учреждениях для лицам с ограниченными возможностями здоровья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4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36/72/108/144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38">
    <w:abstractNumId w:val="12"/>
  </w:num>
  <w:num w:numId="40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44676-psihologiya" Id="docRId2" Type="http://schemas.openxmlformats.org/officeDocument/2006/relationships/hyperlink"/><Relationship Target="styles.xml" Id="docRId4" Type="http://schemas.openxmlformats.org/officeDocument/2006/relationships/styles"/></Relationships>
</file>